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2d1128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CITRA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EEBAF"/>
                <w:sz w:val="18"/>
              </w:rPr>
              <w:t>Nusantara Journal of Strategic Communication and Public Relations</w:t>
            </w:r>
          </w:p>
        </w:tc>
        <w:tc>
          <w:tcPr>
            <w:tcW w:type="dxa" w:w="3855"/>
            <w:shd w:val="clear" w:color="auto" w:fill="2d1128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10.XXXXX/citra.XXXX</w:t>
            </w:r>
          </w:p>
        </w:tc>
      </w:tr>
    </w:tbl>
    <w:p>
      <w:pPr>
        <w:spacing w:after="40" w:before="0"/>
        <w:pBdr>
          <w:top w:val="single" w:sz="24" w:space="1" w:color="fcd34d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AEEF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AEEF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AEEF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AEEFB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c026d3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hubungan masyarakat; komunikasi krisis; branding; komunikasi pemerintahan; komunikasi pemasaran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hubungan masyarakat; komunikasi krisis; branding; komunikasi pemerintahan; komunikasi pemasaran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Kerangka Teori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paradigma dan pendekatan, subjek/informan dan teknik penentuan, teknik pengumpulan data (wawancara, observasi, analisis isi, survei), serta teknik analisis dan keabsahan data (triangulasi, member check, reliabilitas antarpengkode).]</w:t>
      </w:r>
    </w:p>
    <w:p>
      <w:r>
        <w:t>Uraikan prosedur penelitian secara rinci dan berurutan agar dapat direplikasi.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2D1128"/>
          <w:sz w:val="18"/>
        </w:rPr>
        <w:fldChar w:fldCharType="begin"/>
      </w:r>
      <w:r>
        <w:rPr>
          <w:b/>
          <w:color w:val="2D1128"/>
          <w:sz w:val="18"/>
        </w:rPr>
        <w:instrText xml:space="preserve"> SEQ Tabel \* ARABIC </w:instrText>
      </w:r>
      <w:r>
        <w:rPr>
          <w:b/>
          <w:color w:val="2D1128"/>
          <w:sz w:val="18"/>
        </w:rPr>
        <w:fldChar w:fldCharType="separate"/>
      </w:r>
      <w:r>
        <w:rPr>
          <w:b/>
          <w:color w:val="2D1128"/>
          <w:sz w:val="18"/>
        </w:rPr>
        <w:t>1</w:t>
      </w:r>
      <w:r>
        <w:rPr>
          <w:b/>
          <w:color w:val="2D1128"/>
          <w:sz w:val="18"/>
        </w:rPr>
        <w:fldChar w:fldCharType="end"/>
      </w:r>
      <w:r>
        <w:t xml:space="preserve">. </w:t>
      </w:r>
      <w:r>
        <w:rPr>
          <w:b w:val="0"/>
        </w:rPr>
        <w:t>Profil informan penelitian.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type="dxa" w:w="192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Informan</w:t>
            </w:r>
          </w:p>
        </w:tc>
        <w:tc>
          <w:tcPr>
            <w:tcW w:type="dxa" w:w="215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  <w:tc>
          <w:tcPr>
            <w:tcW w:type="dxa" w:w="181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Usia (tahun)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Pengalaman (tahun)</w:t>
            </w:r>
          </w:p>
        </w:tc>
      </w:tr>
      <w:tr>
        <w:tc>
          <w:tcPr>
            <w:tcW w:type="dxa" w:w="192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Informan 1</w:t>
            </w:r>
          </w:p>
        </w:tc>
        <w:tc>
          <w:tcPr>
            <w:tcW w:type="dxa" w:w="215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Redaktur</w:t>
            </w:r>
          </w:p>
        </w:tc>
        <w:tc>
          <w:tcPr>
            <w:tcW w:type="dxa" w:w="181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Informan 2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Reporter</w:t>
            </w:r>
          </w:p>
        </w:tc>
        <w:tc>
          <w:tcPr>
            <w:tcW w:type="dxa" w:w="181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Informan 3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Khalayak</w:t>
            </w:r>
          </w:p>
        </w:tc>
        <w:tc>
          <w:tcPr>
            <w:tcW w:type="dxa" w:w="181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2D1128"/>
          <w:sz w:val="18"/>
        </w:rPr>
        <w:fldChar w:fldCharType="begin"/>
      </w:r>
      <w:r>
        <w:rPr>
          <w:b/>
          <w:color w:val="2D1128"/>
          <w:sz w:val="18"/>
        </w:rPr>
        <w:instrText xml:space="preserve"> SEQ Gambar \* ARABIC </w:instrText>
      </w:r>
      <w:r>
        <w:rPr>
          <w:b/>
          <w:color w:val="2D1128"/>
          <w:sz w:val="18"/>
        </w:rPr>
        <w:fldChar w:fldCharType="separate"/>
      </w:r>
      <w:r>
        <w:rPr>
          <w:b/>
          <w:color w:val="2D1128"/>
          <w:sz w:val="18"/>
        </w:rPr>
        <w:t>1</w:t>
      </w:r>
      <w:r>
        <w:rPr>
          <w:b/>
          <w:color w:val="2D1128"/>
          <w:sz w:val="18"/>
        </w:rPr>
        <w:fldChar w:fldCharType="end"/>
      </w:r>
      <w:r>
        <w:t xml:space="preserve">. </w:t>
      </w:r>
      <w:r>
        <w:rPr>
          <w:b w:val="0"/>
        </w:rPr>
        <w:t>Model alur komunikasi yang dikaji.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Seluruh informan memberikan persetujuan (informed consent) dan identitasnya disamarkan.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D1128"/>
        <w:sz w:val="16"/>
      </w:rPr>
      <w:fldChar w:fldCharType="begin"/>
    </w:r>
    <w:r>
      <w:rPr>
        <w:b/>
        <w:color w:val="2D1128"/>
        <w:sz w:val="16"/>
      </w:rPr>
      <w:instrText xml:space="preserve"> PAGE </w:instrText>
    </w:r>
    <w:r>
      <w:rPr>
        <w:b/>
        <w:color w:val="2D1128"/>
        <w:sz w:val="16"/>
      </w:rPr>
      <w:fldChar w:fldCharType="separate"/>
    </w:r>
    <w:r>
      <w:rPr>
        <w:b/>
        <w:color w:val="2D1128"/>
        <w:sz w:val="16"/>
      </w:rPr>
      <w:t>1</w:t>
    </w:r>
    <w:r>
      <w:rPr>
        <w:b/>
        <w:color w:val="2D1128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D1128"/>
        <w:sz w:val="16"/>
      </w:rPr>
      <w:fldChar w:fldCharType="begin"/>
    </w:r>
    <w:r>
      <w:rPr>
        <w:b/>
        <w:color w:val="2D1128"/>
        <w:sz w:val="16"/>
      </w:rPr>
      <w:instrText xml:space="preserve"> NUMPAGES </w:instrText>
    </w:r>
    <w:r>
      <w:rPr>
        <w:b/>
        <w:color w:val="2D1128"/>
        <w:sz w:val="16"/>
      </w:rPr>
      <w:fldChar w:fldCharType="separate"/>
    </w:r>
    <w:r>
      <w:rPr>
        <w:b/>
        <w:color w:val="2D1128"/>
        <w:sz w:val="16"/>
      </w:rPr>
      <w:t>8</w:t>
    </w:r>
    <w:r>
      <w:rPr>
        <w:b/>
        <w:color w:val="2D1128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2D1128"/>
        <w:sz w:val="16"/>
      </w:rPr>
      <w:fldChar w:fldCharType="begin"/>
    </w:r>
    <w:r>
      <w:rPr>
        <w:b/>
        <w:color w:val="2D1128"/>
        <w:sz w:val="16"/>
      </w:rPr>
      <w:instrText xml:space="preserve"> PAGE </w:instrText>
    </w:r>
    <w:r>
      <w:rPr>
        <w:b/>
        <w:color w:val="2D1128"/>
        <w:sz w:val="16"/>
      </w:rPr>
      <w:fldChar w:fldCharType="separate"/>
    </w:r>
    <w:r>
      <w:rPr>
        <w:b/>
        <w:color w:val="2D1128"/>
        <w:sz w:val="16"/>
      </w:rPr>
      <w:t>1</w:t>
    </w:r>
    <w:r>
      <w:rPr>
        <w:b/>
        <w:color w:val="2D1128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2D1128"/>
        <w:sz w:val="16"/>
      </w:rPr>
      <w:fldChar w:fldCharType="begin"/>
    </w:r>
    <w:r>
      <w:rPr>
        <w:b/>
        <w:color w:val="2D1128"/>
        <w:sz w:val="16"/>
      </w:rPr>
      <w:instrText xml:space="preserve"> NUMPAGES </w:instrText>
    </w:r>
    <w:r>
      <w:rPr>
        <w:b/>
        <w:color w:val="2D1128"/>
        <w:sz w:val="16"/>
      </w:rPr>
      <w:fldChar w:fldCharType="separate"/>
    </w:r>
    <w:r>
      <w:rPr>
        <w:b/>
        <w:color w:val="2D1128"/>
        <w:sz w:val="16"/>
      </w:rPr>
      <w:t>8</w:t>
    </w:r>
    <w:r>
      <w:rPr>
        <w:b/>
        <w:color w:val="2D1128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c026d3"/>
      </w:pBdr>
    </w:pPr>
    <w:r>
      <w:rPr>
        <w:rFonts w:ascii="Arial" w:hAnsi="Arial"/>
        <w:b/>
        <w:color w:val="C026D3"/>
        <w:sz w:val="17"/>
      </w:rPr>
      <w:t>CITRA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2D112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2D112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2D112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C026D3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2D1128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2D1128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C026D3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2D1128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2D1128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CITRA: Nusantara Journal of Strategic Communication and Public Relations – Template Naskah</dc:title>
  <dc:subject>Template naskah resmi</dc:subject>
  <dc:creator>CITRA: Nusantara Journal of Strategic Communication and Public Relations</dc:creator>
  <cp:keywords>Hubungan Masyarakat, Komunikasi Krisis, Branding, Komunikasi Pemerintahan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