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a0f1f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WARTA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CEA7"/>
                <w:sz w:val="18"/>
              </w:rPr>
              <w:t>Nusantara Journal of Journalism and Media Studies</w:t>
            </w:r>
          </w:p>
        </w:tc>
        <w:tc>
          <w:tcPr>
            <w:tcW w:type="dxa" w:w="3855"/>
            <w:shd w:val="clear" w:color="auto" w:fill="2a0f1f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10.XXXXX/warta.XXXX</w:t>
            </w:r>
          </w:p>
        </w:tc>
      </w:tr>
    </w:tbl>
    <w:p>
      <w:pPr>
        <w:spacing w:after="40" w:before="0"/>
        <w:pBdr>
          <w:top w:val="single" w:sz="24" w:space="1" w:color="fb923c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AED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D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D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D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be185d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etika jurnalisme; jurnalisme data; media lokal; literasi media; ekonomi politik media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etika jurnalisme; jurnalisme data; media lokal; literasi media; ekonomi politik media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Kerangka Teori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paradigma dan pendekatan, subjek/informan dan teknik penentuan, teknik pengumpulan data (wawancara, observasi, analisis isi, survei), serta teknik analisis dan keabsahan data (triangulasi, member check, reliabilitas antarpengkode).]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A0F1F"/>
          <w:sz w:val="18"/>
        </w:rPr>
        <w:fldChar w:fldCharType="begin"/>
      </w:r>
      <w:r>
        <w:rPr>
          <w:b/>
          <w:color w:val="2A0F1F"/>
          <w:sz w:val="18"/>
        </w:rPr>
        <w:instrText xml:space="preserve"> SEQ Tabel \* ARABIC </w:instrText>
      </w:r>
      <w:r>
        <w:rPr>
          <w:b/>
          <w:color w:val="2A0F1F"/>
          <w:sz w:val="18"/>
        </w:rPr>
        <w:fldChar w:fldCharType="separate"/>
      </w:r>
      <w:r>
        <w:rPr>
          <w:b/>
          <w:color w:val="2A0F1F"/>
          <w:sz w:val="18"/>
        </w:rPr>
        <w:t>1</w:t>
      </w:r>
      <w:r>
        <w:rPr>
          <w:b/>
          <w:color w:val="2A0F1F"/>
          <w:sz w:val="18"/>
        </w:rPr>
        <w:fldChar w:fldCharType="end"/>
      </w:r>
      <w:r>
        <w:t xml:space="preserve">. </w:t>
      </w:r>
      <w:r>
        <w:rPr>
          <w:b w:val="0"/>
        </w:rPr>
        <w:t>Profil informan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Informan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Usia (tahun)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Pengalaman (tahun)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1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Redaktur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2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Reporter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Informan 3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Khalayak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A0F1F"/>
          <w:sz w:val="18"/>
        </w:rPr>
        <w:fldChar w:fldCharType="begin"/>
      </w:r>
      <w:r>
        <w:rPr>
          <w:b/>
          <w:color w:val="2A0F1F"/>
          <w:sz w:val="18"/>
        </w:rPr>
        <w:instrText xml:space="preserve"> SEQ Gambar \* ARABIC </w:instrText>
      </w:r>
      <w:r>
        <w:rPr>
          <w:b/>
          <w:color w:val="2A0F1F"/>
          <w:sz w:val="18"/>
        </w:rPr>
        <w:fldChar w:fldCharType="separate"/>
      </w:r>
      <w:r>
        <w:rPr>
          <w:b/>
          <w:color w:val="2A0F1F"/>
          <w:sz w:val="18"/>
        </w:rPr>
        <w:t>1</w:t>
      </w:r>
      <w:r>
        <w:rPr>
          <w:b/>
          <w:color w:val="2A0F1F"/>
          <w:sz w:val="18"/>
        </w:rPr>
        <w:fldChar w:fldCharType="end"/>
      </w:r>
      <w:r>
        <w:t xml:space="preserve">. </w:t>
      </w:r>
      <w:r>
        <w:rPr>
          <w:b w:val="0"/>
        </w:rPr>
        <w:t>Model alur komunikasi yang dikaji.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Seluruh informan memberikan persetujuan (informed consent) dan identitasnya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0F1F"/>
        <w:sz w:val="16"/>
      </w:rPr>
      <w:fldChar w:fldCharType="begin"/>
    </w:r>
    <w:r>
      <w:rPr>
        <w:b/>
        <w:color w:val="2A0F1F"/>
        <w:sz w:val="16"/>
      </w:rPr>
      <w:instrText xml:space="preserve"> PAGE </w:instrText>
    </w:r>
    <w:r>
      <w:rPr>
        <w:b/>
        <w:color w:val="2A0F1F"/>
        <w:sz w:val="16"/>
      </w:rPr>
      <w:fldChar w:fldCharType="separate"/>
    </w:r>
    <w:r>
      <w:rPr>
        <w:b/>
        <w:color w:val="2A0F1F"/>
        <w:sz w:val="16"/>
      </w:rPr>
      <w:t>1</w:t>
    </w:r>
    <w:r>
      <w:rPr>
        <w:b/>
        <w:color w:val="2A0F1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0F1F"/>
        <w:sz w:val="16"/>
      </w:rPr>
      <w:fldChar w:fldCharType="begin"/>
    </w:r>
    <w:r>
      <w:rPr>
        <w:b/>
        <w:color w:val="2A0F1F"/>
        <w:sz w:val="16"/>
      </w:rPr>
      <w:instrText xml:space="preserve"> NUMPAGES </w:instrText>
    </w:r>
    <w:r>
      <w:rPr>
        <w:b/>
        <w:color w:val="2A0F1F"/>
        <w:sz w:val="16"/>
      </w:rPr>
      <w:fldChar w:fldCharType="separate"/>
    </w:r>
    <w:r>
      <w:rPr>
        <w:b/>
        <w:color w:val="2A0F1F"/>
        <w:sz w:val="16"/>
      </w:rPr>
      <w:t>8</w:t>
    </w:r>
    <w:r>
      <w:rPr>
        <w:b/>
        <w:color w:val="2A0F1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A0F1F"/>
        <w:sz w:val="16"/>
      </w:rPr>
      <w:fldChar w:fldCharType="begin"/>
    </w:r>
    <w:r>
      <w:rPr>
        <w:b/>
        <w:color w:val="2A0F1F"/>
        <w:sz w:val="16"/>
      </w:rPr>
      <w:instrText xml:space="preserve"> PAGE </w:instrText>
    </w:r>
    <w:r>
      <w:rPr>
        <w:b/>
        <w:color w:val="2A0F1F"/>
        <w:sz w:val="16"/>
      </w:rPr>
      <w:fldChar w:fldCharType="separate"/>
    </w:r>
    <w:r>
      <w:rPr>
        <w:b/>
        <w:color w:val="2A0F1F"/>
        <w:sz w:val="16"/>
      </w:rPr>
      <w:t>1</w:t>
    </w:r>
    <w:r>
      <w:rPr>
        <w:b/>
        <w:color w:val="2A0F1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A0F1F"/>
        <w:sz w:val="16"/>
      </w:rPr>
      <w:fldChar w:fldCharType="begin"/>
    </w:r>
    <w:r>
      <w:rPr>
        <w:b/>
        <w:color w:val="2A0F1F"/>
        <w:sz w:val="16"/>
      </w:rPr>
      <w:instrText xml:space="preserve"> NUMPAGES </w:instrText>
    </w:r>
    <w:r>
      <w:rPr>
        <w:b/>
        <w:color w:val="2A0F1F"/>
        <w:sz w:val="16"/>
      </w:rPr>
      <w:fldChar w:fldCharType="separate"/>
    </w:r>
    <w:r>
      <w:rPr>
        <w:b/>
        <w:color w:val="2A0F1F"/>
        <w:sz w:val="16"/>
      </w:rPr>
      <w:t>8</w:t>
    </w:r>
    <w:r>
      <w:rPr>
        <w:b/>
        <w:color w:val="2A0F1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be185d"/>
      </w:pBdr>
    </w:pPr>
    <w:r>
      <w:rPr>
        <w:rFonts w:ascii="Arial" w:hAnsi="Arial"/>
        <w:b/>
        <w:color w:val="BE185D"/>
        <w:sz w:val="17"/>
      </w:rPr>
      <w:t>WARTA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A0F1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A0F1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A0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BE185D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A0F1F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A0F1F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BE185D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A0F1F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A0F1F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WARTA: Nusantara Journal of Journalism and Media Studies – Template Naskah</dc:title>
  <dc:subject>Template naskah resmi</dc:subject>
  <dc:creator>WARTA: Nusantara Journal of Journalism and Media Studies</dc:creator>
  <cp:keywords>Etika Jurnalisme, Jurnalisme Data, Media Lokal, Literasi Media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