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1f1630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LEX DIGITA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AE0AA"/>
                <w:sz w:val="18"/>
              </w:rPr>
              <w:t>Nusantara Journal of Law, Technology and Society</w:t>
            </w:r>
          </w:p>
        </w:tc>
        <w:tc>
          <w:tcPr>
            <w:tcW w:type="dxa" w:w="3855"/>
            <w:shd w:val="clear" w:color="auto" w:fill="1f1630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10.XXXXX/lexdigit.XXXX</w:t>
            </w:r>
          </w:p>
        </w:tc>
      </w:tr>
    </w:tbl>
    <w:p>
      <w:pPr>
        <w:spacing w:after="40" w:before="0"/>
        <w:pBdr>
          <w:top w:val="single" w:sz="24" w:space="1" w:color="f5b942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F7ECEF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7ECEF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7ECEF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7ECEF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9f1239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perlindungan data pribadi; regulasi kecerdasan artifisial; hukum siber; ekonomi digital dan fintech; bukti elektronik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perlindungan data pribadi; regulasi kecerdasan artifisial; hukum siber; ekonomi digital dan fintech; bukti elektronik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A.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Bunyi ketentuan peraturan dikutip dan dirujuk dalam catatan kaki.</w:t>
      </w:r>
      <w:r>
        <w:rPr>
          <w:rStyle w:val="FootnoteReference"/>
        </w:rPr>
        <w:footnoteReference w:id="1"/>
      </w:r>
      <w:r>
        <w:rPr>
          <w:rStyle w:val="FootnoteReference"/>
        </w:rPr>
        <w:footnoteReference w:id="2"/>
      </w:r>
    </w:p>
    <w:p>
      <w:pPr>
        <w:pStyle w:val="KutipanBlok"/>
      </w:pPr>
      <w:r>
        <w:t>“Pasal 4 ayat (1): Data Pribadi terdiri atas data pribadi yang bersifat spesifik dan data pribadi yang bersifat umum.” [contoh kutipan langsung ketentuan pasal]</w:t>
      </w:r>
    </w:p>
    <w:p>
      <w:pPr>
        <w:pStyle w:val="Heading1"/>
      </w:pPr>
      <w:r>
        <w:t>B.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jenis penelitian (normatif, empiris, atau sosio-legal), pendekatan (perundang-undangan, konseptual, kasus, perbandingan), bahan hukum primer, sekunder, dan tersier, teknik pengumpulan, serta teknik analisis bahan hukum.]</w:t>
      </w:r>
    </w:p>
    <w:p>
      <w:r>
        <w:t>Uraikan prosedur penelitian secara rinci dan berurutan agar dapat direplikasi.</w:t>
      </w:r>
    </w:p>
    <w:p>
      <w:pPr>
        <w:pStyle w:val="Heading1"/>
      </w:pPr>
      <w:r>
        <w:t>C.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1.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1F1630"/>
          <w:sz w:val="18"/>
        </w:rPr>
        <w:fldChar w:fldCharType="begin"/>
      </w:r>
      <w:r>
        <w:rPr>
          <w:b/>
          <w:color w:val="1F1630"/>
          <w:sz w:val="18"/>
        </w:rPr>
        <w:instrText xml:space="preserve"> SEQ Tabel \* ARABIC </w:instrText>
      </w:r>
      <w:r>
        <w:rPr>
          <w:b/>
          <w:color w:val="1F1630"/>
          <w:sz w:val="18"/>
        </w:rPr>
        <w:fldChar w:fldCharType="separate"/>
      </w:r>
      <w:r>
        <w:rPr>
          <w:b/>
          <w:color w:val="1F1630"/>
          <w:sz w:val="18"/>
        </w:rPr>
        <w:t>1</w:t>
      </w:r>
      <w:r>
        <w:rPr>
          <w:b/>
          <w:color w:val="1F1630"/>
          <w:sz w:val="18"/>
        </w:rPr>
        <w:fldChar w:fldCharType="end"/>
      </w:r>
      <w:r>
        <w:t xml:space="preserve">. </w:t>
      </w:r>
      <w:r>
        <w:rPr>
          <w:b w:val="0"/>
        </w:rPr>
        <w:t>Perbandingan pengaturan antara hukum nasional dan pembanding.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3024"/>
        <w:gridCol w:w="3024"/>
        <w:gridCol w:w="3024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Aspek</w:t>
            </w:r>
          </w:p>
        </w:tc>
        <w:tc>
          <w:tcPr>
            <w:tcW w:type="dxa" w:w="311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Pengaturan Nasional</w:t>
            </w:r>
          </w:p>
        </w:tc>
        <w:tc>
          <w:tcPr>
            <w:tcW w:type="dxa" w:w="311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Pembanding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Dasar hukum</w:t>
            </w:r>
          </w:p>
        </w:tc>
        <w:tc>
          <w:tcPr>
            <w:tcW w:type="dxa" w:w="311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Pasal …</w:t>
            </w:r>
          </w:p>
        </w:tc>
        <w:tc>
          <w:tcPr>
            <w:tcW w:type="dxa" w:w="311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Article …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Subjek / kewenangan</w:t>
            </w:r>
          </w:p>
        </w:tc>
        <w:tc>
          <w:tcPr>
            <w:tcW w:type="dxa" w:w="311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…</w:t>
            </w:r>
          </w:p>
        </w:tc>
        <w:tc>
          <w:tcPr>
            <w:tcW w:type="dxa" w:w="311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…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Sanksi</w:t>
            </w:r>
          </w:p>
        </w:tc>
        <w:tc>
          <w:tcPr>
            <w:tcW w:type="dxa" w:w="311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…</w:t>
            </w:r>
          </w:p>
        </w:tc>
        <w:tc>
          <w:tcPr>
            <w:tcW w:type="dxa" w:w="311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…</w:t>
            </w:r>
          </w:p>
        </w:tc>
      </w:tr>
    </w:tbl>
    <w:p>
      <w:pPr>
        <w:pStyle w:val="TeksTabel"/>
      </w:pPr>
    </w:p>
    <w:p>
      <w:pPr>
        <w:pStyle w:val="Heading2"/>
      </w:pPr>
      <w:r>
        <w:t>2.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1F1630"/>
          <w:sz w:val="18"/>
        </w:rPr>
        <w:fldChar w:fldCharType="begin"/>
      </w:r>
      <w:r>
        <w:rPr>
          <w:b/>
          <w:color w:val="1F1630"/>
          <w:sz w:val="18"/>
        </w:rPr>
        <w:instrText xml:space="preserve"> SEQ Gambar \* ARABIC </w:instrText>
      </w:r>
      <w:r>
        <w:rPr>
          <w:b/>
          <w:color w:val="1F1630"/>
          <w:sz w:val="18"/>
        </w:rPr>
        <w:fldChar w:fldCharType="separate"/>
      </w:r>
      <w:r>
        <w:rPr>
          <w:b/>
          <w:color w:val="1F1630"/>
          <w:sz w:val="18"/>
        </w:rPr>
        <w:t>1</w:t>
      </w:r>
      <w:r>
        <w:rPr>
          <w:b/>
          <w:color w:val="1F1630"/>
          <w:sz w:val="18"/>
        </w:rPr>
        <w:fldChar w:fldCharType="end"/>
      </w:r>
      <w:r>
        <w:t xml:space="preserve">. </w:t>
      </w:r>
      <w:r>
        <w:rPr>
          <w:b w:val="0"/>
        </w:rPr>
        <w:t>Alur analisis bahan hukum dalam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D. Penutup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Penelitian empiris (bila ada) dilakukan dengan persetujuan narasumber dan menjaga kerahasiaan identitasnya.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Rahardjo, Satjipto. Ilmu Hukum. Bandung: Citra Aditya Bakti, 2014.</w:t>
      </w:r>
    </w:p>
    <w:p>
      <w:pPr>
        <w:pStyle w:val="DaftarRujukan"/>
      </w:pPr>
      <w:r>
        <w:t>Penulis, Nama. "Judul Artikel Jurnal." Nama Jurnal 12, no. 2 (2025): 101–125. https://doi.org/10.xxxx/xxxxx.</w:t>
      </w:r>
    </w:p>
    <w:p>
      <w:pPr>
        <w:pStyle w:val="DaftarRujukan"/>
      </w:pPr>
      <w:r>
        <w:t>Undang-Undang Nomor 27 Tahun 2022 tentang Pelindungan Data Pribadi.</w:t>
      </w:r>
    </w:p>
    <w:p>
      <w:pPr>
        <w:pStyle w:val="DaftarRujukan"/>
      </w:pPr>
      <w:r>
        <w:t>Putusan Mahkamah Konstitusi Nomor 00/PUU-XX/2024.</w:t>
      </w:r>
    </w:p>
    <w:p>
      <w:pPr>
        <w:pStyle w:val="DaftarRujukan"/>
      </w:pPr>
      <w:r>
        <w:t>Penulis, Nama. "Judul Disertasi." Disertasi doktor, Nama Universitas, 2024.</w:t>
      </w:r>
    </w:p>
    <w:p>
      <w:pPr>
        <w:pStyle w:val="DaftarRujukan"/>
      </w:pPr>
      <w:r>
        <w:t>Nama Lembaga. "Judul Dokumen." Diakses 1 Januari 2027. https://example.go.id.</w:t>
      </w:r>
    </w:p>
    <w:p>
      <w:pPr>
        <w:pStyle w:val="JudulPernyataan"/>
      </w:pPr>
      <w:r>
        <w:t>Contoh catatan kaki Chicago (untuk dimasukkan lewat References → Insert Footnote):</w:t>
      </w:r>
    </w:p>
    <w:p>
      <w:pPr>
        <w:pStyle w:val="DaftarRujukan"/>
      </w:pPr>
      <w:r>
        <w:t>Satjipto Rahardjo, Ilmu Hukum (Bandung: Citra Aditya Bakti, 2014), 45.</w:t>
      </w:r>
    </w:p>
    <w:p>
      <w:pPr>
        <w:pStyle w:val="DaftarRujukan"/>
      </w:pPr>
      <w:r>
        <w:t>Rahardjo, Ilmu Hukum, 50. [rujukan ringkas untuk sumber yang sama]</w:t>
      </w:r>
    </w:p>
    <w:p>
      <w:pPr>
        <w:pStyle w:val="DaftarRujukan"/>
      </w:pPr>
      <w:r>
        <w:t>Penulis, "Judul Artikel," Nama Jurnal 12, no. 2 (2025): 101–125.</w:t>
      </w:r>
    </w:p>
    <w:p>
      <w:pPr>
        <w:pStyle w:val="DaftarRujukan"/>
      </w:pPr>
      <w:r>
        <w:t>Putusan Mahkamah Konstitusi Nomor 00/PUU-XX/2024, 87.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Catatan kaki gaya Chicago ed. 17 (Insert Footnote) disertai daftar pustaka berkelompok.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F1630"/>
        <w:sz w:val="16"/>
      </w:rPr>
      <w:fldChar w:fldCharType="begin"/>
    </w:r>
    <w:r>
      <w:rPr>
        <w:b/>
        <w:color w:val="1F1630"/>
        <w:sz w:val="16"/>
      </w:rPr>
      <w:instrText xml:space="preserve"> PAGE </w:instrText>
    </w:r>
    <w:r>
      <w:rPr>
        <w:b/>
        <w:color w:val="1F1630"/>
        <w:sz w:val="16"/>
      </w:rPr>
      <w:fldChar w:fldCharType="separate"/>
    </w:r>
    <w:r>
      <w:rPr>
        <w:b/>
        <w:color w:val="1F1630"/>
        <w:sz w:val="16"/>
      </w:rPr>
      <w:t>1</w:t>
    </w:r>
    <w:r>
      <w:rPr>
        <w:b/>
        <w:color w:val="1F1630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F1630"/>
        <w:sz w:val="16"/>
      </w:rPr>
      <w:fldChar w:fldCharType="begin"/>
    </w:r>
    <w:r>
      <w:rPr>
        <w:b/>
        <w:color w:val="1F1630"/>
        <w:sz w:val="16"/>
      </w:rPr>
      <w:instrText xml:space="preserve"> NUMPAGES </w:instrText>
    </w:r>
    <w:r>
      <w:rPr>
        <w:b/>
        <w:color w:val="1F1630"/>
        <w:sz w:val="16"/>
      </w:rPr>
      <w:fldChar w:fldCharType="separate"/>
    </w:r>
    <w:r>
      <w:rPr>
        <w:b/>
        <w:color w:val="1F1630"/>
        <w:sz w:val="16"/>
      </w:rPr>
      <w:t>8</w:t>
    </w:r>
    <w:r>
      <w:rPr>
        <w:b/>
        <w:color w:val="1F1630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F1630"/>
        <w:sz w:val="16"/>
      </w:rPr>
      <w:fldChar w:fldCharType="begin"/>
    </w:r>
    <w:r>
      <w:rPr>
        <w:b/>
        <w:color w:val="1F1630"/>
        <w:sz w:val="16"/>
      </w:rPr>
      <w:instrText xml:space="preserve"> PAGE </w:instrText>
    </w:r>
    <w:r>
      <w:rPr>
        <w:b/>
        <w:color w:val="1F1630"/>
        <w:sz w:val="16"/>
      </w:rPr>
      <w:fldChar w:fldCharType="separate"/>
    </w:r>
    <w:r>
      <w:rPr>
        <w:b/>
        <w:color w:val="1F1630"/>
        <w:sz w:val="16"/>
      </w:rPr>
      <w:t>1</w:t>
    </w:r>
    <w:r>
      <w:rPr>
        <w:b/>
        <w:color w:val="1F1630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F1630"/>
        <w:sz w:val="16"/>
      </w:rPr>
      <w:fldChar w:fldCharType="begin"/>
    </w:r>
    <w:r>
      <w:rPr>
        <w:b/>
        <w:color w:val="1F1630"/>
        <w:sz w:val="16"/>
      </w:rPr>
      <w:instrText xml:space="preserve"> NUMPAGES </w:instrText>
    </w:r>
    <w:r>
      <w:rPr>
        <w:b/>
        <w:color w:val="1F1630"/>
        <w:sz w:val="16"/>
      </w:rPr>
      <w:fldChar w:fldCharType="separate"/>
    </w:r>
    <w:r>
      <w:rPr>
        <w:b/>
        <w:color w:val="1F1630"/>
        <w:sz w:val="16"/>
      </w:rPr>
      <w:t>8</w:t>
    </w:r>
    <w:r>
      <w:rPr>
        <w:b/>
        <w:color w:val="1F1630"/>
        <w:sz w:val="16"/>
      </w:rPr>
      <w:fldChar w:fldCharType="end"/>
    </w:r>
  </w:p>
</w:ftr>
</file>

<file path=word/footnotes.xml><?xml version="1.0" encoding="utf-8"?>
<w:footnotes xmlns:w="http://schemas.openxmlformats.org/wordprocessingml/2006/main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Satjipto Rahardjo, Ilmu Hukum (Bandung: Citra Aditya Bakti, 2014), 45.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Undang-Undang Nomor 27 Tahun 2022 tentang Pelindungan Data Pribadi, Pasal 1 angka 1.</w:t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9f1239"/>
      </w:pBdr>
    </w:pPr>
    <w:r>
      <w:rPr>
        <w:rFonts w:ascii="Arial" w:hAnsi="Arial"/>
        <w:b/>
        <w:color w:val="9F1239"/>
        <w:sz w:val="17"/>
      </w:rPr>
      <w:t>LEX DIGITA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1F163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1F163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1F163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9F1239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1F1630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1F1630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9F1239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1F1630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1F1630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LEX DIGITA: Nusantara Journal of Law, Technology and Society – Template Naskah</dc:title>
  <dc:subject>Template naskah resmi</dc:subject>
  <dc:creator>LEX DIGITA: Nusantara Journal of Law, Technology and Society</dc:creator>
  <cp:keywords>Perlindungan Data Pribadi, Regulasi Kecerdasan Artifisial, Hukum Siber, Ekonomi Digital dan Fintech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