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c2a44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FITRAH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CEA7"/>
                <w:sz w:val="18"/>
              </w:rPr>
              <w:t>Nusantara Journal of Islamic Counselling and Educational Psychology</w:t>
            </w:r>
          </w:p>
        </w:tc>
        <w:tc>
          <w:tcPr>
            <w:tcW w:type="dxa" w:w="3855"/>
            <w:shd w:val="clear" w:color="auto" w:fill="0c2a44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10.XXXXX/fitrah.XXXX</w:t>
            </w:r>
          </w:p>
        </w:tc>
      </w:tr>
    </w:tbl>
    <w:p>
      <w:pPr>
        <w:spacing w:after="40" w:before="0"/>
        <w:pBdr>
          <w:top w:val="single" w:sz="24" w:space="1" w:color="fb923c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BF5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5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5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5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284c7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konseling islam; psikologi pendidikan; kesehatan mental; religiusitas dan spiritualitas; konseling keluarga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konseling islam; psikologi pendidikan; kesehatan mental; religiusitas dan spiritualitas; konseling keluarga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C2A44"/>
          <w:sz w:val="18"/>
        </w:rPr>
        <w:fldChar w:fldCharType="begin"/>
      </w:r>
      <w:r>
        <w:rPr>
          <w:b/>
          <w:color w:val="0C2A44"/>
          <w:sz w:val="18"/>
        </w:rPr>
        <w:instrText xml:space="preserve"> SEQ Tabel \* ARABIC </w:instrText>
      </w:r>
      <w:r>
        <w:rPr>
          <w:b/>
          <w:color w:val="0C2A44"/>
          <w:sz w:val="18"/>
        </w:rPr>
        <w:fldChar w:fldCharType="separate"/>
      </w:r>
      <w:r>
        <w:rPr>
          <w:b/>
          <w:color w:val="0C2A44"/>
          <w:sz w:val="18"/>
        </w:rPr>
        <w:t>1</w:t>
      </w:r>
      <w:r>
        <w:rPr>
          <w:b/>
          <w:color w:val="0C2A44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C2A44"/>
          <w:sz w:val="18"/>
        </w:rPr>
        <w:fldChar w:fldCharType="begin"/>
      </w:r>
      <w:r>
        <w:rPr>
          <w:b/>
          <w:color w:val="0C2A44"/>
          <w:sz w:val="18"/>
        </w:rPr>
        <w:instrText xml:space="preserve"> SEQ Gambar \* ARABIC </w:instrText>
      </w:r>
      <w:r>
        <w:rPr>
          <w:b/>
          <w:color w:val="0C2A44"/>
          <w:sz w:val="18"/>
        </w:rPr>
        <w:fldChar w:fldCharType="separate"/>
      </w:r>
      <w:r>
        <w:rPr>
          <w:b/>
          <w:color w:val="0C2A44"/>
          <w:sz w:val="18"/>
        </w:rPr>
        <w:t>1</w:t>
      </w:r>
      <w:r>
        <w:rPr>
          <w:b/>
          <w:color w:val="0C2A44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C2A44"/>
        <w:sz w:val="16"/>
      </w:rPr>
      <w:fldChar w:fldCharType="begin"/>
    </w:r>
    <w:r>
      <w:rPr>
        <w:b/>
        <w:color w:val="0C2A44"/>
        <w:sz w:val="16"/>
      </w:rPr>
      <w:instrText xml:space="preserve"> PAGE </w:instrText>
    </w:r>
    <w:r>
      <w:rPr>
        <w:b/>
        <w:color w:val="0C2A44"/>
        <w:sz w:val="16"/>
      </w:rPr>
      <w:fldChar w:fldCharType="separate"/>
    </w:r>
    <w:r>
      <w:rPr>
        <w:b/>
        <w:color w:val="0C2A44"/>
        <w:sz w:val="16"/>
      </w:rPr>
      <w:t>1</w:t>
    </w:r>
    <w:r>
      <w:rPr>
        <w:b/>
        <w:color w:val="0C2A4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C2A44"/>
        <w:sz w:val="16"/>
      </w:rPr>
      <w:fldChar w:fldCharType="begin"/>
    </w:r>
    <w:r>
      <w:rPr>
        <w:b/>
        <w:color w:val="0C2A44"/>
        <w:sz w:val="16"/>
      </w:rPr>
      <w:instrText xml:space="preserve"> NUMPAGES </w:instrText>
    </w:r>
    <w:r>
      <w:rPr>
        <w:b/>
        <w:color w:val="0C2A44"/>
        <w:sz w:val="16"/>
      </w:rPr>
      <w:fldChar w:fldCharType="separate"/>
    </w:r>
    <w:r>
      <w:rPr>
        <w:b/>
        <w:color w:val="0C2A44"/>
        <w:sz w:val="16"/>
      </w:rPr>
      <w:t>8</w:t>
    </w:r>
    <w:r>
      <w:rPr>
        <w:b/>
        <w:color w:val="0C2A44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C2A44"/>
        <w:sz w:val="16"/>
      </w:rPr>
      <w:fldChar w:fldCharType="begin"/>
    </w:r>
    <w:r>
      <w:rPr>
        <w:b/>
        <w:color w:val="0C2A44"/>
        <w:sz w:val="16"/>
      </w:rPr>
      <w:instrText xml:space="preserve"> PAGE </w:instrText>
    </w:r>
    <w:r>
      <w:rPr>
        <w:b/>
        <w:color w:val="0C2A44"/>
        <w:sz w:val="16"/>
      </w:rPr>
      <w:fldChar w:fldCharType="separate"/>
    </w:r>
    <w:r>
      <w:rPr>
        <w:b/>
        <w:color w:val="0C2A44"/>
        <w:sz w:val="16"/>
      </w:rPr>
      <w:t>1</w:t>
    </w:r>
    <w:r>
      <w:rPr>
        <w:b/>
        <w:color w:val="0C2A4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C2A44"/>
        <w:sz w:val="16"/>
      </w:rPr>
      <w:fldChar w:fldCharType="begin"/>
    </w:r>
    <w:r>
      <w:rPr>
        <w:b/>
        <w:color w:val="0C2A44"/>
        <w:sz w:val="16"/>
      </w:rPr>
      <w:instrText xml:space="preserve"> NUMPAGES </w:instrText>
    </w:r>
    <w:r>
      <w:rPr>
        <w:b/>
        <w:color w:val="0C2A44"/>
        <w:sz w:val="16"/>
      </w:rPr>
      <w:fldChar w:fldCharType="separate"/>
    </w:r>
    <w:r>
      <w:rPr>
        <w:b/>
        <w:color w:val="0C2A44"/>
        <w:sz w:val="16"/>
      </w:rPr>
      <w:t>8</w:t>
    </w:r>
    <w:r>
      <w:rPr>
        <w:b/>
        <w:color w:val="0C2A44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284c7"/>
      </w:pBdr>
    </w:pPr>
    <w:r>
      <w:rPr>
        <w:rFonts w:ascii="Arial" w:hAnsi="Arial"/>
        <w:b/>
        <w:color w:val="0284C7"/>
        <w:sz w:val="17"/>
      </w:rPr>
      <w:t>FITRAH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C2A4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C2A4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C2A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284C7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C2A44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C2A44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284C7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C2A44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C2A44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FITRAH: Nusantara Journal of Islamic Counselling and Educational Psychology – Template Naskah</dc:title>
  <dc:subject>Template naskah resmi</dc:subject>
  <dc:creator>FITRAH: Nusantara Journal of Islamic Counselling and Educational Psychology</dc:creator>
  <cp:keywords>Konseling Islam, Psikologi Pendidikan, Kesehatan Mental, Religiusitas dan Spiritualitas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