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2a0f12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GURU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E29C"/>
                <w:sz w:val="18"/>
              </w:rPr>
              <w:t>Nusantara Journal of Teacher Professionalism, School Leadership and Education Policy</w:t>
            </w:r>
          </w:p>
        </w:tc>
        <w:tc>
          <w:tcPr>
            <w:tcW w:type="dxa" w:w="3855"/>
            <w:shd w:val="clear" w:color="auto" w:fill="2a0f12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10.XXXXX/guru.XXXX</w:t>
            </w:r>
          </w:p>
        </w:tc>
      </w:tr>
    </w:tbl>
    <w:p>
      <w:pPr>
        <w:spacing w:after="40" w:before="0"/>
        <w:pBdr>
          <w:top w:val="single" w:sz="24" w:space="1" w:color="fbbf24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9EDE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9EDE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9EDE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9EDE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b91c1c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profesi guru; pendidikan profesi guru; kepemimpinan sekolah; manajemen dan pembiayaan; kurikulum merdeka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profesi guru; pendidikan profesi guru; kepemimpinan sekolah; manajemen dan pembiayaan; kurikulum merdeka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Kajian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pendekatan dan desain penelitian (kuantitatif, kualitatif, campuran, R&amp;D, atau PTK), subjek dan konteks (jenjang, sekolah, jumlah peserta), teknik sampling, instrumen beserta bukti validitas dan reliabilitasnya, prosedur pengumpulan data, serta teknik analisis dan keabsahan data.]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2A0F12"/>
          <w:sz w:val="18"/>
        </w:rPr>
        <w:fldChar w:fldCharType="begin"/>
      </w:r>
      <w:r>
        <w:rPr>
          <w:b/>
          <w:color w:val="2A0F12"/>
          <w:sz w:val="18"/>
        </w:rPr>
        <w:instrText xml:space="preserve"> SEQ Tabel \* ARABIC </w:instrText>
      </w:r>
      <w:r>
        <w:rPr>
          <w:b/>
          <w:color w:val="2A0F12"/>
          <w:sz w:val="18"/>
        </w:rPr>
        <w:fldChar w:fldCharType="separate"/>
      </w:r>
      <w:r>
        <w:rPr>
          <w:b/>
          <w:color w:val="2A0F12"/>
          <w:sz w:val="18"/>
        </w:rPr>
        <w:t>1</w:t>
      </w:r>
      <w:r>
        <w:rPr>
          <w:b/>
          <w:color w:val="2A0F12"/>
          <w:sz w:val="18"/>
        </w:rPr>
        <w:fldChar w:fldCharType="end"/>
      </w:r>
      <w:r>
        <w:t xml:space="preserve">. </w:t>
      </w:r>
      <w:r>
        <w:rPr>
          <w:b w:val="0"/>
        </w:rPr>
        <w:t>Statistik deskriptif hasil belajar peserta didik pada tiap 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Kelompok</w:t>
            </w:r>
          </w:p>
        </w:tc>
        <w:tc>
          <w:tcPr>
            <w:tcW w:type="dxa" w:w="907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Pra-tes (M ± SD)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Pasca-tes (M ± SD)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N-Gain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Eksperimen</w:t>
            </w:r>
          </w:p>
        </w:tc>
        <w:tc>
          <w:tcPr>
            <w:tcW w:type="dxa" w:w="907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Kontrol</w:t>
            </w:r>
          </w:p>
        </w:tc>
        <w:tc>
          <w:tcPr>
            <w:tcW w:type="dxa" w:w="907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2A0F12"/>
          <w:sz w:val="18"/>
        </w:rPr>
        <w:fldChar w:fldCharType="begin"/>
      </w:r>
      <w:r>
        <w:rPr>
          <w:b/>
          <w:color w:val="2A0F12"/>
          <w:sz w:val="18"/>
        </w:rPr>
        <w:instrText xml:space="preserve"> SEQ Gambar \* ARABIC </w:instrText>
      </w:r>
      <w:r>
        <w:rPr>
          <w:b/>
          <w:color w:val="2A0F12"/>
          <w:sz w:val="18"/>
        </w:rPr>
        <w:fldChar w:fldCharType="separate"/>
      </w:r>
      <w:r>
        <w:rPr>
          <w:b/>
          <w:color w:val="2A0F12"/>
          <w:sz w:val="18"/>
        </w:rPr>
        <w:t>1</w:t>
      </w:r>
      <w:r>
        <w:rPr>
          <w:b/>
          <w:color w:val="2A0F12"/>
          <w:sz w:val="18"/>
        </w:rPr>
        <w:fldChar w:fldCharType="end"/>
      </w:r>
      <w:r>
        <w:t xml:space="preserve">. </w:t>
      </w:r>
      <w:r>
        <w:rPr>
          <w:b w:val="0"/>
        </w:rPr>
        <w:t>Kerangka konseptual dan alur tahapan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memperoleh izin dari [sekolah/lembaga]. Seluruh partisipan (dan orang tua/wali untuk peserta didik di bawah umur) memberikan persetujuan, dan identitas partisipan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A0F12"/>
        <w:sz w:val="16"/>
      </w:rPr>
      <w:fldChar w:fldCharType="begin"/>
    </w:r>
    <w:r>
      <w:rPr>
        <w:b/>
        <w:color w:val="2A0F12"/>
        <w:sz w:val="16"/>
      </w:rPr>
      <w:instrText xml:space="preserve"> PAGE </w:instrText>
    </w:r>
    <w:r>
      <w:rPr>
        <w:b/>
        <w:color w:val="2A0F12"/>
        <w:sz w:val="16"/>
      </w:rPr>
      <w:fldChar w:fldCharType="separate"/>
    </w:r>
    <w:r>
      <w:rPr>
        <w:b/>
        <w:color w:val="2A0F12"/>
        <w:sz w:val="16"/>
      </w:rPr>
      <w:t>1</w:t>
    </w:r>
    <w:r>
      <w:rPr>
        <w:b/>
        <w:color w:val="2A0F12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A0F12"/>
        <w:sz w:val="16"/>
      </w:rPr>
      <w:fldChar w:fldCharType="begin"/>
    </w:r>
    <w:r>
      <w:rPr>
        <w:b/>
        <w:color w:val="2A0F12"/>
        <w:sz w:val="16"/>
      </w:rPr>
      <w:instrText xml:space="preserve"> NUMPAGES </w:instrText>
    </w:r>
    <w:r>
      <w:rPr>
        <w:b/>
        <w:color w:val="2A0F12"/>
        <w:sz w:val="16"/>
      </w:rPr>
      <w:fldChar w:fldCharType="separate"/>
    </w:r>
    <w:r>
      <w:rPr>
        <w:b/>
        <w:color w:val="2A0F12"/>
        <w:sz w:val="16"/>
      </w:rPr>
      <w:t>8</w:t>
    </w:r>
    <w:r>
      <w:rPr>
        <w:b/>
        <w:color w:val="2A0F12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A0F12"/>
        <w:sz w:val="16"/>
      </w:rPr>
      <w:fldChar w:fldCharType="begin"/>
    </w:r>
    <w:r>
      <w:rPr>
        <w:b/>
        <w:color w:val="2A0F12"/>
        <w:sz w:val="16"/>
      </w:rPr>
      <w:instrText xml:space="preserve"> PAGE </w:instrText>
    </w:r>
    <w:r>
      <w:rPr>
        <w:b/>
        <w:color w:val="2A0F12"/>
        <w:sz w:val="16"/>
      </w:rPr>
      <w:fldChar w:fldCharType="separate"/>
    </w:r>
    <w:r>
      <w:rPr>
        <w:b/>
        <w:color w:val="2A0F12"/>
        <w:sz w:val="16"/>
      </w:rPr>
      <w:t>1</w:t>
    </w:r>
    <w:r>
      <w:rPr>
        <w:b/>
        <w:color w:val="2A0F12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A0F12"/>
        <w:sz w:val="16"/>
      </w:rPr>
      <w:fldChar w:fldCharType="begin"/>
    </w:r>
    <w:r>
      <w:rPr>
        <w:b/>
        <w:color w:val="2A0F12"/>
        <w:sz w:val="16"/>
      </w:rPr>
      <w:instrText xml:space="preserve"> NUMPAGES </w:instrText>
    </w:r>
    <w:r>
      <w:rPr>
        <w:b/>
        <w:color w:val="2A0F12"/>
        <w:sz w:val="16"/>
      </w:rPr>
      <w:fldChar w:fldCharType="separate"/>
    </w:r>
    <w:r>
      <w:rPr>
        <w:b/>
        <w:color w:val="2A0F12"/>
        <w:sz w:val="16"/>
      </w:rPr>
      <w:t>8</w:t>
    </w:r>
    <w:r>
      <w:rPr>
        <w:b/>
        <w:color w:val="2A0F12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b91c1c"/>
      </w:pBdr>
    </w:pPr>
    <w:r>
      <w:rPr>
        <w:rFonts w:ascii="Arial" w:hAnsi="Arial"/>
        <w:b/>
        <w:color w:val="B91C1C"/>
        <w:sz w:val="17"/>
      </w:rPr>
      <w:t>GURU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2A0F1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2A0F1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2A0F1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B91C1C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2A0F12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2A0F12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B91C1C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2A0F12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2A0F12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GURU: Nusantara Journal of Teacher Professionalism, School Leadership and Education Policy – Template Naskah</dc:title>
  <dc:subject>Template naskah resmi</dc:subject>
  <dc:creator>GURU: Nusantara Journal of Teacher Professionalism, School Leadership and Education Policy</dc:creator>
  <cp:keywords>Profesi Guru, Pendidikan Profesi Guru, Kepemimpinan Sekolah, Manajemen dan Pembiayaan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