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b1a10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RUMINA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EEBAF"/>
                <w:sz w:val="18"/>
              </w:rPr>
              <w:t>Nusantara Journal of Ruminant Production</w:t>
            </w:r>
          </w:p>
        </w:tc>
        <w:tc>
          <w:tcPr>
            <w:tcW w:type="dxa" w:w="3855"/>
            <w:shd w:val="clear" w:color="auto" w:fill="2b1a10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10.XXXXX/rumina.XXXX</w:t>
            </w:r>
          </w:p>
        </w:tc>
      </w:tr>
    </w:tbl>
    <w:p>
      <w:pPr>
        <w:spacing w:after="40" w:before="0"/>
        <w:pBdr>
          <w:top w:val="single" w:sz="24" w:space="1" w:color="fcd34d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9F1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9F1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9F1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9F1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b45309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pemuliaan ternak; sapi potong dan perah; kambing dan domba; reproduksi ternak; manajemen kandang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pemuliaan ternak; sapi potong dan perah; kambing dan domba; reproduksi ternak; manajemen kandang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Materi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tempat, materi (jenis, umur, bobot ternak), rancangan percobaan (RAL/RAK/faktorial), perlakuan dan ulangan, peubah yang diamati, serta analisis statistik (ANOVA dan uji lanjut). Cantumkan nomor persetujuan etik hewan.]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 pengamatan, μ rataan umum, τ pengaruh perlakuan ke-i, dan ε galat percobaan.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B1A10"/>
          <w:sz w:val="18"/>
        </w:rPr>
        <w:fldChar w:fldCharType="begin"/>
      </w:r>
      <w:r>
        <w:rPr>
          <w:b/>
          <w:color w:val="2B1A10"/>
          <w:sz w:val="18"/>
        </w:rPr>
        <w:instrText xml:space="preserve"> SEQ Tabel \* ARABIC </w:instrText>
      </w:r>
      <w:r>
        <w:rPr>
          <w:b/>
          <w:color w:val="2B1A10"/>
          <w:sz w:val="18"/>
        </w:rPr>
        <w:fldChar w:fldCharType="separate"/>
      </w:r>
      <w:r>
        <w:rPr>
          <w:b/>
          <w:color w:val="2B1A10"/>
          <w:sz w:val="18"/>
        </w:rPr>
        <w:t>1</w:t>
      </w:r>
      <w:r>
        <w:rPr>
          <w:b/>
          <w:color w:val="2B1A10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respons ternak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60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Konsumsi Pakan (g/ekor/hari)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PBBH (g/ekor/hari)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FCR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60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60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60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B1A10"/>
          <w:sz w:val="18"/>
        </w:rPr>
        <w:fldChar w:fldCharType="begin"/>
      </w:r>
      <w:r>
        <w:rPr>
          <w:b/>
          <w:color w:val="2B1A10"/>
          <w:sz w:val="18"/>
        </w:rPr>
        <w:instrText xml:space="preserve"> SEQ Gambar \* ARABIC </w:instrText>
      </w:r>
      <w:r>
        <w:rPr>
          <w:b/>
          <w:color w:val="2B1A10"/>
          <w:sz w:val="18"/>
        </w:rPr>
        <w:fldChar w:fldCharType="separate"/>
      </w:r>
      <w:r>
        <w:rPr>
          <w:b/>
          <w:color w:val="2B1A10"/>
          <w:sz w:val="18"/>
        </w:rPr>
        <w:t>1</w:t>
      </w:r>
      <w:r>
        <w:rPr>
          <w:b/>
          <w:color w:val="2B1A10"/>
          <w:sz w:val="18"/>
        </w:rPr>
        <w:fldChar w:fldCharType="end"/>
      </w:r>
      <w:r>
        <w:t xml:space="preserve">. </w:t>
      </w:r>
      <w:r>
        <w:rPr>
          <w:b w:val="0"/>
        </w:rPr>
        <w:t>Rancangan penempatan unit percobaan dan tata letak kandang.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Persetujuan Etik Hewan</w:t>
      </w:r>
    </w:p>
    <w:p>
      <w:pPr>
        <w:pStyle w:val="TeksPernyataan"/>
      </w:pPr>
      <w:r>
        <w:t>Penelitian ini telah memperoleh persetujuan etik dari Komisi Etik Hewan [nama institusi] dengan nomor [nomor/tanggal]. Prinsip kesejahteraan hewan (five freedoms) diterapkan selama penelitian.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B1A10"/>
        <w:sz w:val="16"/>
      </w:rPr>
      <w:fldChar w:fldCharType="begin"/>
    </w:r>
    <w:r>
      <w:rPr>
        <w:b/>
        <w:color w:val="2B1A10"/>
        <w:sz w:val="16"/>
      </w:rPr>
      <w:instrText xml:space="preserve"> PAGE </w:instrText>
    </w:r>
    <w:r>
      <w:rPr>
        <w:b/>
        <w:color w:val="2B1A10"/>
        <w:sz w:val="16"/>
      </w:rPr>
      <w:fldChar w:fldCharType="separate"/>
    </w:r>
    <w:r>
      <w:rPr>
        <w:b/>
        <w:color w:val="2B1A10"/>
        <w:sz w:val="16"/>
      </w:rPr>
      <w:t>1</w:t>
    </w:r>
    <w:r>
      <w:rPr>
        <w:b/>
        <w:color w:val="2B1A1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B1A10"/>
        <w:sz w:val="16"/>
      </w:rPr>
      <w:fldChar w:fldCharType="begin"/>
    </w:r>
    <w:r>
      <w:rPr>
        <w:b/>
        <w:color w:val="2B1A10"/>
        <w:sz w:val="16"/>
      </w:rPr>
      <w:instrText xml:space="preserve"> NUMPAGES </w:instrText>
    </w:r>
    <w:r>
      <w:rPr>
        <w:b/>
        <w:color w:val="2B1A10"/>
        <w:sz w:val="16"/>
      </w:rPr>
      <w:fldChar w:fldCharType="separate"/>
    </w:r>
    <w:r>
      <w:rPr>
        <w:b/>
        <w:color w:val="2B1A10"/>
        <w:sz w:val="16"/>
      </w:rPr>
      <w:t>8</w:t>
    </w:r>
    <w:r>
      <w:rPr>
        <w:b/>
        <w:color w:val="2B1A10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B1A10"/>
        <w:sz w:val="16"/>
      </w:rPr>
      <w:fldChar w:fldCharType="begin"/>
    </w:r>
    <w:r>
      <w:rPr>
        <w:b/>
        <w:color w:val="2B1A10"/>
        <w:sz w:val="16"/>
      </w:rPr>
      <w:instrText xml:space="preserve"> PAGE </w:instrText>
    </w:r>
    <w:r>
      <w:rPr>
        <w:b/>
        <w:color w:val="2B1A10"/>
        <w:sz w:val="16"/>
      </w:rPr>
      <w:fldChar w:fldCharType="separate"/>
    </w:r>
    <w:r>
      <w:rPr>
        <w:b/>
        <w:color w:val="2B1A10"/>
        <w:sz w:val="16"/>
      </w:rPr>
      <w:t>1</w:t>
    </w:r>
    <w:r>
      <w:rPr>
        <w:b/>
        <w:color w:val="2B1A1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B1A10"/>
        <w:sz w:val="16"/>
      </w:rPr>
      <w:fldChar w:fldCharType="begin"/>
    </w:r>
    <w:r>
      <w:rPr>
        <w:b/>
        <w:color w:val="2B1A10"/>
        <w:sz w:val="16"/>
      </w:rPr>
      <w:instrText xml:space="preserve"> NUMPAGES </w:instrText>
    </w:r>
    <w:r>
      <w:rPr>
        <w:b/>
        <w:color w:val="2B1A10"/>
        <w:sz w:val="16"/>
      </w:rPr>
      <w:fldChar w:fldCharType="separate"/>
    </w:r>
    <w:r>
      <w:rPr>
        <w:b/>
        <w:color w:val="2B1A10"/>
        <w:sz w:val="16"/>
      </w:rPr>
      <w:t>8</w:t>
    </w:r>
    <w:r>
      <w:rPr>
        <w:b/>
        <w:color w:val="2B1A10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b45309"/>
      </w:pBdr>
    </w:pPr>
    <w:r>
      <w:rPr>
        <w:rFonts w:ascii="Arial" w:hAnsi="Arial"/>
        <w:b/>
        <w:color w:val="B45309"/>
        <w:sz w:val="17"/>
      </w:rPr>
      <w:t>RUMINA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B1A1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B1A1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B1A1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B45309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B1A10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B1A10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B45309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B1A10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B1A10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RUMINA: Nusantara Journal of Ruminant Production – Template Naskah</dc:title>
  <dc:subject>Template naskah resmi</dc:subject>
  <dc:creator>RUMINA: Nusantara Journal of Ruminant Production</dc:creator>
  <cp:keywords>Pemuliaan Ternak, Sapi Potong dan Perah, Kambing dan Domba, Reproduksi Ternak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