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d1135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TAUTAN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BFC8"/>
                <w:sz w:val="18"/>
              </w:rPr>
              <w:t>Nusantara Journal of Digital Media and Social Communication</w:t>
            </w:r>
          </w:p>
        </w:tc>
        <w:tc>
          <w:tcPr>
            <w:tcW w:type="dxa" w:w="3855"/>
            <w:shd w:val="clear" w:color="auto" w:fill="1d1135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10.XXXXX/tautan.XXXX</w:t>
            </w:r>
          </w:p>
        </w:tc>
      </w:tr>
    </w:tbl>
    <w:p>
      <w:pPr>
        <w:spacing w:after="40" w:before="0"/>
        <w:pBdr>
          <w:top w:val="single" w:sz="24" w:space="1" w:color="fb7185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9333ea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media sosial; budaya digital; dakwah digital; komunikasi politik; komunikasi pemasaran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media sosial; budaya digital; dakwah digital; komunikasi politik; komunikasi pemasaran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Kerangka Teori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paradigma dan pendekatan, subjek/informan dan teknik penentuan, teknik pengumpulan data (wawancara, observasi, analisis isi, survei), serta teknik analisis dan keabsahan data (triangulasi, member check, reliabilitas antarpengkode).]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D1135"/>
          <w:sz w:val="18"/>
        </w:rPr>
        <w:fldChar w:fldCharType="begin"/>
      </w:r>
      <w:r>
        <w:rPr>
          <w:b/>
          <w:color w:val="1D1135"/>
          <w:sz w:val="18"/>
        </w:rPr>
        <w:instrText xml:space="preserve"> SEQ Tabel \* ARABIC </w:instrText>
      </w:r>
      <w:r>
        <w:rPr>
          <w:b/>
          <w:color w:val="1D1135"/>
          <w:sz w:val="18"/>
        </w:rPr>
        <w:fldChar w:fldCharType="separate"/>
      </w:r>
      <w:r>
        <w:rPr>
          <w:b/>
          <w:color w:val="1D1135"/>
          <w:sz w:val="18"/>
        </w:rPr>
        <w:t>1</w:t>
      </w:r>
      <w:r>
        <w:rPr>
          <w:b/>
          <w:color w:val="1D1135"/>
          <w:sz w:val="18"/>
        </w:rPr>
        <w:fldChar w:fldCharType="end"/>
      </w:r>
      <w:r>
        <w:t xml:space="preserve">. </w:t>
      </w:r>
      <w:r>
        <w:rPr>
          <w:b w:val="0"/>
        </w:rPr>
        <w:t>Profil informan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Informan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Usia (tahun)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Pengalaman (tahun)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1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Redaktur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2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Reporter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Informan 3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Khalayak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D1135"/>
          <w:sz w:val="18"/>
        </w:rPr>
        <w:fldChar w:fldCharType="begin"/>
      </w:r>
      <w:r>
        <w:rPr>
          <w:b/>
          <w:color w:val="1D1135"/>
          <w:sz w:val="18"/>
        </w:rPr>
        <w:instrText xml:space="preserve"> SEQ Gambar \* ARABIC </w:instrText>
      </w:r>
      <w:r>
        <w:rPr>
          <w:b/>
          <w:color w:val="1D1135"/>
          <w:sz w:val="18"/>
        </w:rPr>
        <w:fldChar w:fldCharType="separate"/>
      </w:r>
      <w:r>
        <w:rPr>
          <w:b/>
          <w:color w:val="1D1135"/>
          <w:sz w:val="18"/>
        </w:rPr>
        <w:t>1</w:t>
      </w:r>
      <w:r>
        <w:rPr>
          <w:b/>
          <w:color w:val="1D1135"/>
          <w:sz w:val="18"/>
        </w:rPr>
        <w:fldChar w:fldCharType="end"/>
      </w:r>
      <w:r>
        <w:t xml:space="preserve">. </w:t>
      </w:r>
      <w:r>
        <w:rPr>
          <w:b w:val="0"/>
        </w:rPr>
        <w:t>Model alur komunikasi yang dikaji.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Seluruh informan memberikan persetujuan (informed consent) dan identitasnya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D1135"/>
        <w:sz w:val="16"/>
      </w:rPr>
      <w:fldChar w:fldCharType="begin"/>
    </w:r>
    <w:r>
      <w:rPr>
        <w:b/>
        <w:color w:val="1D1135"/>
        <w:sz w:val="16"/>
      </w:rPr>
      <w:instrText xml:space="preserve"> PAGE </w:instrText>
    </w:r>
    <w:r>
      <w:rPr>
        <w:b/>
        <w:color w:val="1D1135"/>
        <w:sz w:val="16"/>
      </w:rPr>
      <w:fldChar w:fldCharType="separate"/>
    </w:r>
    <w:r>
      <w:rPr>
        <w:b/>
        <w:color w:val="1D1135"/>
        <w:sz w:val="16"/>
      </w:rPr>
      <w:t>1</w:t>
    </w:r>
    <w:r>
      <w:rPr>
        <w:b/>
        <w:color w:val="1D1135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D1135"/>
        <w:sz w:val="16"/>
      </w:rPr>
      <w:fldChar w:fldCharType="begin"/>
    </w:r>
    <w:r>
      <w:rPr>
        <w:b/>
        <w:color w:val="1D1135"/>
        <w:sz w:val="16"/>
      </w:rPr>
      <w:instrText xml:space="preserve"> NUMPAGES </w:instrText>
    </w:r>
    <w:r>
      <w:rPr>
        <w:b/>
        <w:color w:val="1D1135"/>
        <w:sz w:val="16"/>
      </w:rPr>
      <w:fldChar w:fldCharType="separate"/>
    </w:r>
    <w:r>
      <w:rPr>
        <w:b/>
        <w:color w:val="1D1135"/>
        <w:sz w:val="16"/>
      </w:rPr>
      <w:t>8</w:t>
    </w:r>
    <w:r>
      <w:rPr>
        <w:b/>
        <w:color w:val="1D1135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D1135"/>
        <w:sz w:val="16"/>
      </w:rPr>
      <w:fldChar w:fldCharType="begin"/>
    </w:r>
    <w:r>
      <w:rPr>
        <w:b/>
        <w:color w:val="1D1135"/>
        <w:sz w:val="16"/>
      </w:rPr>
      <w:instrText xml:space="preserve"> PAGE </w:instrText>
    </w:r>
    <w:r>
      <w:rPr>
        <w:b/>
        <w:color w:val="1D1135"/>
        <w:sz w:val="16"/>
      </w:rPr>
      <w:fldChar w:fldCharType="separate"/>
    </w:r>
    <w:r>
      <w:rPr>
        <w:b/>
        <w:color w:val="1D1135"/>
        <w:sz w:val="16"/>
      </w:rPr>
      <w:t>1</w:t>
    </w:r>
    <w:r>
      <w:rPr>
        <w:b/>
        <w:color w:val="1D1135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D1135"/>
        <w:sz w:val="16"/>
      </w:rPr>
      <w:fldChar w:fldCharType="begin"/>
    </w:r>
    <w:r>
      <w:rPr>
        <w:b/>
        <w:color w:val="1D1135"/>
        <w:sz w:val="16"/>
      </w:rPr>
      <w:instrText xml:space="preserve"> NUMPAGES </w:instrText>
    </w:r>
    <w:r>
      <w:rPr>
        <w:b/>
        <w:color w:val="1D1135"/>
        <w:sz w:val="16"/>
      </w:rPr>
      <w:fldChar w:fldCharType="separate"/>
    </w:r>
    <w:r>
      <w:rPr>
        <w:b/>
        <w:color w:val="1D1135"/>
        <w:sz w:val="16"/>
      </w:rPr>
      <w:t>8</w:t>
    </w:r>
    <w:r>
      <w:rPr>
        <w:b/>
        <w:color w:val="1D1135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9333ea"/>
      </w:pBdr>
    </w:pPr>
    <w:r>
      <w:rPr>
        <w:rFonts w:ascii="Arial" w:hAnsi="Arial"/>
        <w:b/>
        <w:color w:val="9333EA"/>
        <w:sz w:val="17"/>
      </w:rPr>
      <w:t>TAUTAN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D113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D113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D11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9333EA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D1135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D1135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9333EA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D1135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D1135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TAUTAN: Nusantara Journal of Digital Media and Social Communication – Template Naskah</dc:title>
  <dc:subject>Template naskah resmi</dc:subject>
  <dc:creator>TAUTAN: Nusantara Journal of Digital Media and Social Communication</dc:creator>
  <cp:keywords>Media Sosial, Budaya Digital, Dakwah Digital, Komunikasi Politik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