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a0f2e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LAYAR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9CEBF7"/>
                <w:sz w:val="18"/>
              </w:rPr>
              <w:t>Nusantara Journal of Film, Broadcasting and Creative Media</w:t>
            </w:r>
          </w:p>
        </w:tc>
        <w:tc>
          <w:tcPr>
            <w:tcW w:type="dxa" w:w="3855"/>
            <w:shd w:val="clear" w:color="auto" w:fill="1a0f2e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10.XXXXX/layar.XXXX</w:t>
            </w:r>
          </w:p>
        </w:tc>
      </w:tr>
    </w:tbl>
    <w:p>
      <w:pPr>
        <w:spacing w:after="40" w:before="0"/>
        <w:pBdr>
          <w:top w:val="single" w:sz="24" w:space="1" w:color="22d3ee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CEEF4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CEEF4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CEEF4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CEEF4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db2777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kajian film; penyiaran; konten digital; produksi media; industri kreatif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kajian film; penyiaran; konten digital; produksi media; industri kreatif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Kerangka Teori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paradigma dan pendekatan, subjek/informan dan teknik penentuan, teknik pengumpulan data (wawancara, observasi, analisis isi, survei), serta teknik analisis dan keabsahan data (triangulasi, member check, reliabilitas antarpengkode).]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A0F2E"/>
          <w:sz w:val="18"/>
        </w:rPr>
        <w:fldChar w:fldCharType="begin"/>
      </w:r>
      <w:r>
        <w:rPr>
          <w:b/>
          <w:color w:val="1A0F2E"/>
          <w:sz w:val="18"/>
        </w:rPr>
        <w:instrText xml:space="preserve"> SEQ Tabel \* ARABIC </w:instrText>
      </w:r>
      <w:r>
        <w:rPr>
          <w:b/>
          <w:color w:val="1A0F2E"/>
          <w:sz w:val="18"/>
        </w:rPr>
        <w:fldChar w:fldCharType="separate"/>
      </w:r>
      <w:r>
        <w:rPr>
          <w:b/>
          <w:color w:val="1A0F2E"/>
          <w:sz w:val="18"/>
        </w:rPr>
        <w:t>1</w:t>
      </w:r>
      <w:r>
        <w:rPr>
          <w:b/>
          <w:color w:val="1A0F2E"/>
          <w:sz w:val="18"/>
        </w:rPr>
        <w:fldChar w:fldCharType="end"/>
      </w:r>
      <w:r>
        <w:t xml:space="preserve">. </w:t>
      </w:r>
      <w:r>
        <w:rPr>
          <w:b w:val="0"/>
        </w:rPr>
        <w:t>Profil informan penelitian.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Informan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Usia (tahun)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Pengalaman (tahun)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Informan 1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Redaktur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Informan 2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Reporter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Informan 3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Khalayak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A0F2E"/>
          <w:sz w:val="18"/>
        </w:rPr>
        <w:fldChar w:fldCharType="begin"/>
      </w:r>
      <w:r>
        <w:rPr>
          <w:b/>
          <w:color w:val="1A0F2E"/>
          <w:sz w:val="18"/>
        </w:rPr>
        <w:instrText xml:space="preserve"> SEQ Gambar \* ARABIC </w:instrText>
      </w:r>
      <w:r>
        <w:rPr>
          <w:b/>
          <w:color w:val="1A0F2E"/>
          <w:sz w:val="18"/>
        </w:rPr>
        <w:fldChar w:fldCharType="separate"/>
      </w:r>
      <w:r>
        <w:rPr>
          <w:b/>
          <w:color w:val="1A0F2E"/>
          <w:sz w:val="18"/>
        </w:rPr>
        <w:t>1</w:t>
      </w:r>
      <w:r>
        <w:rPr>
          <w:b/>
          <w:color w:val="1A0F2E"/>
          <w:sz w:val="18"/>
        </w:rPr>
        <w:fldChar w:fldCharType="end"/>
      </w:r>
      <w:r>
        <w:t xml:space="preserve">. </w:t>
      </w:r>
      <w:r>
        <w:rPr>
          <w:b w:val="0"/>
        </w:rPr>
        <w:t>Model alur komunikasi yang dikaji.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Seluruh informan memberikan persetujuan (informed consent) dan identitasnya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A0F2E"/>
        <w:sz w:val="16"/>
      </w:rPr>
      <w:fldChar w:fldCharType="begin"/>
    </w:r>
    <w:r>
      <w:rPr>
        <w:b/>
        <w:color w:val="1A0F2E"/>
        <w:sz w:val="16"/>
      </w:rPr>
      <w:instrText xml:space="preserve"> PAGE </w:instrText>
    </w:r>
    <w:r>
      <w:rPr>
        <w:b/>
        <w:color w:val="1A0F2E"/>
        <w:sz w:val="16"/>
      </w:rPr>
      <w:fldChar w:fldCharType="separate"/>
    </w:r>
    <w:r>
      <w:rPr>
        <w:b/>
        <w:color w:val="1A0F2E"/>
        <w:sz w:val="16"/>
      </w:rPr>
      <w:t>1</w:t>
    </w:r>
    <w:r>
      <w:rPr>
        <w:b/>
        <w:color w:val="1A0F2E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A0F2E"/>
        <w:sz w:val="16"/>
      </w:rPr>
      <w:fldChar w:fldCharType="begin"/>
    </w:r>
    <w:r>
      <w:rPr>
        <w:b/>
        <w:color w:val="1A0F2E"/>
        <w:sz w:val="16"/>
      </w:rPr>
      <w:instrText xml:space="preserve"> NUMPAGES </w:instrText>
    </w:r>
    <w:r>
      <w:rPr>
        <w:b/>
        <w:color w:val="1A0F2E"/>
        <w:sz w:val="16"/>
      </w:rPr>
      <w:fldChar w:fldCharType="separate"/>
    </w:r>
    <w:r>
      <w:rPr>
        <w:b/>
        <w:color w:val="1A0F2E"/>
        <w:sz w:val="16"/>
      </w:rPr>
      <w:t>8</w:t>
    </w:r>
    <w:r>
      <w:rPr>
        <w:b/>
        <w:color w:val="1A0F2E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A0F2E"/>
        <w:sz w:val="16"/>
      </w:rPr>
      <w:fldChar w:fldCharType="begin"/>
    </w:r>
    <w:r>
      <w:rPr>
        <w:b/>
        <w:color w:val="1A0F2E"/>
        <w:sz w:val="16"/>
      </w:rPr>
      <w:instrText xml:space="preserve"> PAGE </w:instrText>
    </w:r>
    <w:r>
      <w:rPr>
        <w:b/>
        <w:color w:val="1A0F2E"/>
        <w:sz w:val="16"/>
      </w:rPr>
      <w:fldChar w:fldCharType="separate"/>
    </w:r>
    <w:r>
      <w:rPr>
        <w:b/>
        <w:color w:val="1A0F2E"/>
        <w:sz w:val="16"/>
      </w:rPr>
      <w:t>1</w:t>
    </w:r>
    <w:r>
      <w:rPr>
        <w:b/>
        <w:color w:val="1A0F2E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A0F2E"/>
        <w:sz w:val="16"/>
      </w:rPr>
      <w:fldChar w:fldCharType="begin"/>
    </w:r>
    <w:r>
      <w:rPr>
        <w:b/>
        <w:color w:val="1A0F2E"/>
        <w:sz w:val="16"/>
      </w:rPr>
      <w:instrText xml:space="preserve"> NUMPAGES </w:instrText>
    </w:r>
    <w:r>
      <w:rPr>
        <w:b/>
        <w:color w:val="1A0F2E"/>
        <w:sz w:val="16"/>
      </w:rPr>
      <w:fldChar w:fldCharType="separate"/>
    </w:r>
    <w:r>
      <w:rPr>
        <w:b/>
        <w:color w:val="1A0F2E"/>
        <w:sz w:val="16"/>
      </w:rPr>
      <w:t>8</w:t>
    </w:r>
    <w:r>
      <w:rPr>
        <w:b/>
        <w:color w:val="1A0F2E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db2777"/>
      </w:pBdr>
    </w:pPr>
    <w:r>
      <w:rPr>
        <w:rFonts w:ascii="Arial" w:hAnsi="Arial"/>
        <w:b/>
        <w:color w:val="DB2777"/>
        <w:sz w:val="17"/>
      </w:rPr>
      <w:t>LAYAR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A0F2E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A0F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A0F2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DB2777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A0F2E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A0F2E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DB2777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A0F2E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A0F2E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LAYAR: Nusantara Journal of Film, Broadcasting and Creative Media – Template Naskah</dc:title>
  <dc:subject>Template naskah resmi</dc:subject>
  <dc:creator>LAYAR: Nusantara Journal of Film, Broadcasting and Creative Media</dc:creator>
  <cp:keywords>Kajian Film, Penyiaran, Konten Digital, Produksi Media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